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ru-RU"/>
        </w:rPr>
        <w:t>СИЛЛАБУС</w:t>
      </w:r>
    </w:p>
    <w:p>
      <w:pPr>
        <w:pStyle w:val="Normal.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ru-RU"/>
        </w:rPr>
        <w:t xml:space="preserve">Осенний семестр </w:t>
      </w:r>
      <w:r>
        <w:rPr>
          <w:b w:val="1"/>
          <w:bCs w:val="1"/>
          <w:sz w:val="20"/>
          <w:szCs w:val="20"/>
          <w:rtl w:val="0"/>
          <w:lang w:val="ru-RU"/>
        </w:rPr>
        <w:t xml:space="preserve">2023-2024 </w:t>
      </w:r>
      <w:r>
        <w:rPr>
          <w:b w:val="1"/>
          <w:bCs w:val="1"/>
          <w:sz w:val="20"/>
          <w:szCs w:val="20"/>
          <w:rtl w:val="0"/>
          <w:lang w:val="ru-RU"/>
        </w:rPr>
        <w:t>учебного года</w:t>
      </w:r>
    </w:p>
    <w:p>
      <w:pPr>
        <w:pStyle w:val="Normal.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ru-RU"/>
        </w:rPr>
        <w:t xml:space="preserve">Образовательная программа </w:t>
      </w:r>
      <w:r>
        <w:rPr>
          <w:b w:val="1"/>
          <w:bCs w:val="1"/>
          <w:sz w:val="20"/>
          <w:szCs w:val="20"/>
          <w:rtl w:val="0"/>
          <w:lang w:val="ru-RU"/>
        </w:rPr>
        <w:t>6</w:t>
      </w:r>
      <w:r>
        <w:rPr>
          <w:b w:val="1"/>
          <w:bCs w:val="1"/>
          <w:sz w:val="20"/>
          <w:szCs w:val="20"/>
          <w:rtl w:val="0"/>
          <w:lang w:val="ru-RU"/>
        </w:rPr>
        <w:t>В</w:t>
      </w:r>
      <w:r>
        <w:rPr>
          <w:b w:val="1"/>
          <w:bCs w:val="1"/>
          <w:sz w:val="20"/>
          <w:szCs w:val="20"/>
          <w:rtl w:val="0"/>
          <w:lang w:val="ru-RU"/>
        </w:rPr>
        <w:t xml:space="preserve">04205 </w:t>
      </w:r>
      <w:r>
        <w:rPr>
          <w:b w:val="1"/>
          <w:bCs w:val="1"/>
          <w:sz w:val="20"/>
          <w:szCs w:val="20"/>
          <w:rtl w:val="0"/>
          <w:lang w:val="ru-RU"/>
        </w:rPr>
        <w:t>– «Юриспруденция»</w:t>
      </w:r>
    </w:p>
    <w:p>
      <w:pPr>
        <w:pStyle w:val="Normal.0"/>
        <w:jc w:val="center"/>
        <w:rPr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b w:val="1"/>
          <w:bCs w:val="1"/>
          <w:sz w:val="20"/>
          <w:szCs w:val="20"/>
        </w:rPr>
      </w:pPr>
    </w:p>
    <w:p>
      <w:pPr>
        <w:pStyle w:val="Normal.0"/>
        <w:rPr>
          <w:b w:val="1"/>
          <w:bCs w:val="1"/>
          <w:sz w:val="20"/>
          <w:szCs w:val="20"/>
        </w:rPr>
      </w:pPr>
    </w:p>
    <w:tbl>
      <w:tblPr>
        <w:tblW w:w="934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15"/>
        <w:gridCol w:w="1137"/>
        <w:gridCol w:w="886"/>
        <w:gridCol w:w="884"/>
        <w:gridCol w:w="1010"/>
        <w:gridCol w:w="632"/>
        <w:gridCol w:w="1263"/>
        <w:gridCol w:w="2022"/>
      </w:tblGrid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51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ID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 наименование дисциплины</w:t>
            </w:r>
          </w:p>
        </w:tc>
        <w:tc>
          <w:tcPr>
            <w:tcW w:type="dxa" w:w="2023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Самостоятельная работа обучающегося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СРО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5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во кредитов </w:t>
            </w:r>
          </w:p>
        </w:tc>
        <w:tc>
          <w:tcPr>
            <w:tcW w:type="dxa" w:w="12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Общее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во кредитов</w:t>
            </w:r>
          </w:p>
        </w:tc>
        <w:tc>
          <w:tcPr>
            <w:tcW w:type="dxa" w:w="202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Самостоятельная работа обучающегося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под руководством преподавателя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СРОП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  <w:r>
              <w:rPr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950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</w:tcPr>
          <w:p/>
        </w:tc>
        <w:tc>
          <w:tcPr>
            <w:tcW w:type="dxa" w:w="2023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</w:tcPr>
          <w:p/>
        </w:tc>
        <w:tc>
          <w:tcPr>
            <w:tcW w:type="dxa" w:w="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Лекции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Практ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занятия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ПЗ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Лаб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занятия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ЛЗ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2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</w:tcPr>
          <w:p/>
        </w:tc>
        <w:tc>
          <w:tcPr>
            <w:tcW w:type="dxa" w:w="20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</w:tcPr>
          <w:p/>
        </w:tc>
      </w:tr>
      <w:tr>
        <w:tblPrEx>
          <w:shd w:val="clear" w:color="auto" w:fill="ced7e7"/>
        </w:tblPrEx>
        <w:trPr>
          <w:trHeight w:val="155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1108; POPK 1111; POPK 2106; POPK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Правовые основы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</w:p>
        </w:tc>
        <w:tc>
          <w:tcPr>
            <w:tcW w:type="dxa" w:w="202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clear" w:color="auto" w:fill="ffffff"/>
                <w:rtl w:val="0"/>
                <w:lang w:val="ru-RU"/>
              </w:rPr>
              <w:t>7</w:t>
            </w:r>
          </w:p>
        </w:tc>
        <w:tc>
          <w:tcPr>
            <w:tcW w:type="dxa" w:w="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1,70</w:t>
            </w:r>
          </w:p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3.30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2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9349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АКАДЕМИЧЕСКАЯ ИНФОРМАЦИЯ О ДИСЦИПЛИНЕ</w:t>
            </w:r>
          </w:p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Формат обучения</w:t>
            </w:r>
          </w:p>
        </w:tc>
        <w:tc>
          <w:tcPr>
            <w:tcW w:type="dxa" w:w="11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Цикл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компонент</w:t>
            </w:r>
          </w:p>
        </w:tc>
        <w:tc>
          <w:tcPr>
            <w:tcW w:type="dxa" w:w="17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Типы лекций</w:t>
            </w:r>
          </w:p>
        </w:tc>
        <w:tc>
          <w:tcPr>
            <w:tcW w:type="dxa" w:w="16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Типы практических занятий</w:t>
            </w:r>
          </w:p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Форма и платформа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итогового контроля</w:t>
            </w:r>
          </w:p>
        </w:tc>
      </w:tr>
      <w:tr>
        <w:tblPrEx>
          <w:shd w:val="clear" w:color="auto" w:fill="ced7e7"/>
        </w:tblPrEx>
        <w:trPr>
          <w:trHeight w:val="133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Офлайн</w:t>
            </w:r>
          </w:p>
        </w:tc>
        <w:tc>
          <w:tcPr>
            <w:tcW w:type="dxa" w:w="11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Цикл базовыых дисциплин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вузовый компонент</w:t>
            </w:r>
          </w:p>
        </w:tc>
        <w:tc>
          <w:tcPr>
            <w:tcW w:type="dxa" w:w="17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Вводная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Информационная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Обзорная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Лекция диалог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Лекция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визуализация</w:t>
            </w:r>
          </w:p>
        </w:tc>
        <w:tc>
          <w:tcPr>
            <w:tcW w:type="dxa" w:w="16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Анализ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решение задач</w:t>
            </w:r>
          </w:p>
        </w:tc>
        <w:tc>
          <w:tcPr>
            <w:tcW w:type="dxa" w:w="3285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Система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Univer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тест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Лектор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 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454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Абдрахманов Данияр Саттарович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старший преподаватель</w:t>
            </w:r>
          </w:p>
        </w:tc>
        <w:tc>
          <w:tcPr>
            <w:tcW w:type="dxa" w:w="328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e-mail:</w:t>
            </w:r>
          </w:p>
        </w:tc>
        <w:tc>
          <w:tcPr>
            <w:tcW w:type="dxa" w:w="454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Hyperlink.0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"mailto:daniyar.abdrahmanov@gmail.com"</w:instrText>
            </w:r>
            <w:r>
              <w:rPr>
                <w:rStyle w:val="Hyperlink.0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d</w:t>
            </w:r>
            <w:r>
              <w:rPr>
                <w:rStyle w:val="Нет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aniyar.abdrahmanov@gmail.com</w:t>
            </w:r>
            <w:r>
              <w:rPr/>
              <w:fldChar w:fldCharType="end" w:fldLock="0"/>
            </w:r>
          </w:p>
        </w:tc>
        <w:tc>
          <w:tcPr>
            <w:tcW w:type="dxa" w:w="328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Телефон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454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87011002284</w:t>
            </w:r>
          </w:p>
        </w:tc>
        <w:tc>
          <w:tcPr>
            <w:tcW w:type="dxa" w:w="328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Ассистент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 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454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Ергали Адлет Маратұлы</w:t>
            </w:r>
          </w:p>
        </w:tc>
        <w:tc>
          <w:tcPr>
            <w:tcW w:type="dxa" w:w="328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e-mail:</w:t>
            </w:r>
          </w:p>
        </w:tc>
        <w:tc>
          <w:tcPr>
            <w:tcW w:type="dxa" w:w="454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25" w:lineRule="exact"/>
              <w:ind w:left="1852" w:firstLine="0"/>
            </w:pPr>
            <w:r>
              <w:rPr>
                <w:rStyle w:val="Hyperlink.1"/>
                <w:sz w:val="22"/>
                <w:szCs w:val="22"/>
                <w:shd w:val="nil" w:color="auto" w:fill="auto"/>
                <w:lang w:val="ru-RU"/>
                <w14:textOutline w14:w="12700" w14:cap="flat">
                  <w14:noFill/>
                  <w14:miter w14:lim="400000"/>
                </w14:textOutline>
              </w:rPr>
              <w:fldChar w:fldCharType="begin" w:fldLock="0"/>
            </w:r>
            <w:r>
              <w:rPr>
                <w:rStyle w:val="Hyperlink.1"/>
                <w:sz w:val="22"/>
                <w:szCs w:val="22"/>
                <w:shd w:val="nil" w:color="auto" w:fill="auto"/>
                <w:lang w:val="ru-RU"/>
                <w14:textOutline w14:w="12700" w14:cap="flat">
                  <w14:noFill/>
                  <w14:miter w14:lim="400000"/>
                </w14:textOutline>
              </w:rPr>
              <w:instrText xml:space="preserve"> HYPERLINK "mailto:yergali.adlet@gmail.com"</w:instrText>
            </w:r>
            <w:r>
              <w:rPr>
                <w:rStyle w:val="Hyperlink.1"/>
                <w:sz w:val="22"/>
                <w:szCs w:val="22"/>
                <w:shd w:val="nil" w:color="auto" w:fill="auto"/>
                <w:lang w:val="ru-RU"/>
                <w14:textOutline w14:w="12700" w14:cap="flat">
                  <w14:noFill/>
                  <w14:miter w14:lim="400000"/>
                </w14:textOutline>
              </w:rPr>
              <w:fldChar w:fldCharType="separate" w:fldLock="0"/>
            </w:r>
            <w:r>
              <w:rPr>
                <w:rStyle w:val="Hyperlink.1"/>
                <w:sz w:val="22"/>
                <w:szCs w:val="22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y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ergali.adlet@gmail.com</w:t>
            </w:r>
            <w:r>
              <w:rPr/>
              <w:fldChar w:fldCharType="end" w:fldLock="0"/>
            </w:r>
          </w:p>
        </w:tc>
        <w:tc>
          <w:tcPr>
            <w:tcW w:type="dxa" w:w="328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Телефон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454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+77017377763</w:t>
            </w:r>
          </w:p>
        </w:tc>
        <w:tc>
          <w:tcPr>
            <w:tcW w:type="dxa" w:w="328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9349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АКАДЕМИЧЕСКАЯ ПРЕЗЕНТАЦИЯ ДИСЦИПЛИНЫ</w:t>
            </w:r>
          </w:p>
        </w:tc>
      </w:tr>
      <w:tr>
        <w:tblPrEx>
          <w:shd w:val="clear" w:color="auto" w:fill="ced7e7"/>
        </w:tblPrEx>
        <w:trPr>
          <w:trHeight w:val="633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Цель дисциплины</w:t>
            </w:r>
          </w:p>
        </w:tc>
        <w:tc>
          <w:tcPr>
            <w:tcW w:type="dxa" w:w="454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Ожидаемые результаты обучения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)*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Индикаторы достижения 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>ИД</w:t>
            </w:r>
            <w:r>
              <w:rPr>
                <w:rStyle w:val="Нет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>)</w:t>
            </w:r>
            <w:r>
              <w:rPr>
                <w:rStyle w:val="Нет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> </w:t>
            </w:r>
            <w:r>
              <w:rPr>
                <w:rStyle w:val="Нет"/>
                <w:sz w:val="20"/>
                <w:szCs w:val="20"/>
                <w:shd w:val="clear" w:color="auto" w:fill="ffffff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51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Ознакомить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студентов с действующей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антикоррупционной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политикой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основными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коррупционными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преступными правонарушени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ями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совершаемыми в стране и</w:t>
              <w:tab/>
              <w:t xml:space="preserve"> мерами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противодействия им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Кроме того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студенты изучают на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курсах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зарубежный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опыт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противодействия коррупции и деятельность международных антикоррупционных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4549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 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когнитивный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Понимать</w:t>
            </w:r>
            <w:r>
              <w:rPr>
                <w:rStyle w:val="Нет"/>
                <w:spacing w:val="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что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такое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коррупция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представлять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ее негативные последствия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1.1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Понимание сущности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933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9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1.2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Представление  </w:t>
            </w:r>
            <w:r>
              <w:rPr>
                <w:rStyle w:val="Нет"/>
                <w:spacing w:val="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негативных последствий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82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9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 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функциональный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Иметь представление об основных коррупционных правонарушениях и виды ответственности за их совершение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2.1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Знание</w:t>
              <w:tab/>
              <w:t>коррупционных</w:t>
            </w:r>
          </w:p>
          <w:p>
            <w:pPr>
              <w:pStyle w:val="Normal.0"/>
              <w:widowControl w:val="0"/>
              <w:tabs>
                <w:tab w:val="left" w:pos="1448"/>
                <w:tab w:val="left" w:pos="3324"/>
              </w:tabs>
              <w:bidi w:val="0"/>
              <w:spacing w:line="230" w:lineRule="atLeast"/>
              <w:ind w:left="110" w:right="104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уголовных</w:t>
              <w:tab/>
              <w:t>правонарушений</w:t>
              <w:tab/>
              <w:t>и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санкции за их совершение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9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pacing w:val="0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2.2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Разграничение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коррупционные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уголовные от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 административных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правонарушений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9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 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функциональный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Ориентироваться</w:t>
              <w:tab/>
              <w:t>в основных мера х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3.1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Классификация</w:t>
              <w:tab/>
              <w:t>мер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противодействия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9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3.2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Ориентирование в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нормативных правовых актах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касающихся</w:t>
              <w:tab/>
              <w:t xml:space="preserve">вопросов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9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 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функциональный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Анализировать основные причины совершения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 в Казахстане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Определение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основных причин совершения коррупции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Казахстане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514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9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4.2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Предложение</w:t>
              <w:tab/>
              <w:t>мер</w:t>
              <w:tab/>
              <w:t xml:space="preserve">по 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противодействию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9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 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системный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Знать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международный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опыт противодействия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5.1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Иметь</w:t>
              <w:tab/>
              <w:t>представление</w:t>
              <w:tab/>
              <w:t>о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деятельности международных организаций</w:t>
            </w:r>
            <w:r>
              <w:rPr>
                <w:rStyle w:val="Нет"/>
                <w:spacing w:val="2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2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их</w:t>
            </w:r>
            <w:r>
              <w:rPr>
                <w:rStyle w:val="Нет"/>
                <w:spacing w:val="2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роли</w:t>
            </w:r>
            <w:r>
              <w:rPr>
                <w:rStyle w:val="Нет"/>
                <w:spacing w:val="2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28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борьбе</w:t>
            </w:r>
            <w:r>
              <w:rPr>
                <w:rStyle w:val="Нет"/>
                <w:spacing w:val="2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112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9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5.2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Анализировать</w:t>
            </w:r>
            <w:r>
              <w:rPr>
                <w:rStyle w:val="Нет"/>
                <w:spacing w:val="4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национальное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законодательство</w:t>
              <w:tab/>
              <w:t>с</w:t>
              <w:tab/>
              <w:t>зарубежным законодательством</w:t>
              <w:tab/>
              <w:t>по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вопросам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противодействия 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Пререквизиты </w:t>
            </w:r>
          </w:p>
        </w:tc>
        <w:tc>
          <w:tcPr>
            <w:tcW w:type="dxa" w:w="7834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UPRK 2205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Уголовное право РК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общая часть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),  UPRK2212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Уголовное право РК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особенная части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), Krim 3214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Криминология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APRK 2206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Административное право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Постреквизиты</w:t>
            </w:r>
          </w:p>
        </w:tc>
        <w:tc>
          <w:tcPr>
            <w:tcW w:type="dxa" w:w="7834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PORK1202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Правоохранительные органы РК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APRK 2206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Административное право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OKUP3220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Основы квалификации преступлений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TSD 4305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Теория судебных доказательств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PN 4304 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Прокурорский надзор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APRK3219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Адвокатское право РК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545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Учебные ресурсы</w:t>
            </w:r>
          </w:p>
        </w:tc>
        <w:tc>
          <w:tcPr>
            <w:tcW w:type="dxa" w:w="7834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Основная литература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widowControl w:val="0"/>
              <w:numPr>
                <w:ilvl w:val="0"/>
                <w:numId w:val="1"/>
              </w:numPr>
              <w:bidi w:val="0"/>
              <w:spacing w:line="225" w:lineRule="exact"/>
              <w:ind w:right="0"/>
              <w:jc w:val="both"/>
              <w:rPr>
                <w:sz w:val="20"/>
                <w:szCs w:val="20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Уголовное кодекс РК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3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июля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2014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г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Алматы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ЮРИСТ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2022.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208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  <w:p>
            <w:pPr>
              <w:pStyle w:val="Normal.0"/>
              <w:widowControl w:val="0"/>
              <w:numPr>
                <w:ilvl w:val="0"/>
                <w:numId w:val="2"/>
              </w:numPr>
              <w:bidi w:val="0"/>
              <w:spacing w:before="20" w:line="254" w:lineRule="auto"/>
              <w:ind w:right="94"/>
              <w:jc w:val="both"/>
              <w:rPr>
                <w:sz w:val="20"/>
                <w:szCs w:val="20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Комментарий к Уголовному кодексу Республики Казахстан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/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Под ред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Даулбаева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Алматы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, 2015.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- 500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  <w:p>
            <w:pPr>
              <w:pStyle w:val="Normal.0"/>
              <w:widowControl w:val="0"/>
              <w:numPr>
                <w:ilvl w:val="0"/>
                <w:numId w:val="2"/>
              </w:numPr>
              <w:bidi w:val="0"/>
              <w:spacing w:before="2" w:line="254" w:lineRule="auto"/>
              <w:ind w:right="98"/>
              <w:jc w:val="both"/>
              <w:rPr>
                <w:sz w:val="20"/>
                <w:szCs w:val="20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Противодействие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учебное пособие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/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составители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Межведилов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Бакулина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Антонов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Талан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Ю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Виноградова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Д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Гильфанова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Казань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изд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Казань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ун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-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та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2016. - 192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  <w:p>
            <w:pPr>
              <w:pStyle w:val="Normal.0"/>
              <w:widowControl w:val="0"/>
              <w:numPr>
                <w:ilvl w:val="0"/>
                <w:numId w:val="2"/>
              </w:numPr>
              <w:bidi w:val="0"/>
              <w:spacing w:before="3" w:line="256" w:lineRule="auto"/>
              <w:ind w:right="101"/>
              <w:jc w:val="both"/>
              <w:rPr>
                <w:sz w:val="20"/>
                <w:szCs w:val="20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Основы антикоррупционной культуры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учебное пособие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/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общей редакцией руководил д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н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профессор 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Абдрасилов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– Астана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Академия государственного управления при Президенте Республики Казахстан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2016. - 176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  <w:p>
            <w:pPr>
              <w:pStyle w:val="Normal.0"/>
              <w:widowControl w:val="0"/>
              <w:numPr>
                <w:ilvl w:val="0"/>
                <w:numId w:val="3"/>
              </w:numPr>
              <w:bidi w:val="0"/>
              <w:ind w:right="102"/>
              <w:jc w:val="both"/>
              <w:rPr>
                <w:sz w:val="20"/>
                <w:szCs w:val="20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Противостояние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новые вызовы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Иванов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Хабриева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Ю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Чиханчин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[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и др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.];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отв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ред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Хабриева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– 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Институт законодательства и сравнительного права При Правительстве Российской Федерации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ИНФРА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-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2016. - 384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  <w:p>
            <w:pPr>
              <w:pStyle w:val="Normal.0"/>
              <w:widowControl w:val="0"/>
              <w:numPr>
                <w:ilvl w:val="0"/>
                <w:numId w:val="4"/>
              </w:numPr>
              <w:bidi w:val="0"/>
              <w:ind w:right="0"/>
              <w:jc w:val="left"/>
              <w:rPr>
                <w:sz w:val="20"/>
                <w:szCs w:val="20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Пименов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Н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Обеспечение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противодействия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– 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2018. -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238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  <w:p>
            <w:pPr>
              <w:pStyle w:val="Normal.0"/>
              <w:widowControl w:val="0"/>
              <w:numPr>
                <w:ilvl w:val="0"/>
                <w:numId w:val="5"/>
              </w:numPr>
              <w:bidi w:val="0"/>
              <w:ind w:right="1547"/>
              <w:jc w:val="left"/>
              <w:rPr>
                <w:sz w:val="20"/>
                <w:szCs w:val="20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Годунов 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Противодействие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Учебник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– 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., 2019. - 730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Интернет ресурсы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:</w:t>
            </w:r>
          </w:p>
          <w:p>
            <w:pPr>
              <w:pStyle w:val="Normal.0"/>
              <w:widowControl w:val="0"/>
              <w:numPr>
                <w:ilvl w:val="0"/>
                <w:numId w:val="5"/>
              </w:numPr>
              <w:bidi w:val="0"/>
              <w:ind w:right="1547"/>
              <w:jc w:val="left"/>
              <w:rPr>
                <w:sz w:val="20"/>
                <w:szCs w:val="20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  <w14:textOutline w14:w="12700" w14:cap="flat">
                  <w14:noFill/>
                  <w14:miter w14:lim="400000"/>
                </w14:textOutline>
              </w:rPr>
              <w:fldChar w:fldCharType="begin" w:fldLock="0"/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  <w14:textOutline w14:w="12700" w14:cap="flat">
                  <w14:noFill/>
                  <w14:miter w14:lim="400000"/>
                </w14:textOutline>
              </w:rPr>
              <w:instrText xml:space="preserve"> HYPERLINK "http://elibrary.kaznu.kz/ru"</w:instrTex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  <w14:textOutline w14:w="12700" w14:cap="flat">
                  <w14:noFill/>
                  <w14:miter w14:lim="400000"/>
                </w14:textOutline>
              </w:rPr>
              <w:fldChar w:fldCharType="separate" w:fldLock="0"/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http://elibrary.kaznu.kz/ru</w:t>
            </w:r>
            <w:r>
              <w:rPr>
                <w:sz w:val="20"/>
                <w:szCs w:val="20"/>
                <w14:textOutline w14:w="12700" w14:cap="flat">
                  <w14:noFill/>
                  <w14:miter w14:lim="400000"/>
                </w14:textOutline>
              </w:rPr>
              <w:fldChar w:fldCharType="end" w:fldLock="0"/>
            </w:r>
          </w:p>
          <w:p>
            <w:pPr>
              <w:pStyle w:val="Normal.0"/>
              <w:widowControl w:val="0"/>
              <w:numPr>
                <w:ilvl w:val="0"/>
                <w:numId w:val="5"/>
              </w:numPr>
              <w:bidi w:val="0"/>
              <w:ind w:right="1547"/>
              <w:jc w:val="left"/>
              <w:rPr>
                <w:sz w:val="20"/>
                <w:szCs w:val="20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Hyperlink.3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3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"https://www.gov.kz/memleket/entities/anticorruption?lang=kk"</w:instrText>
            </w:r>
            <w:r>
              <w:rPr>
                <w:rStyle w:val="Hyperlink.3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3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t>https://www.gov.kz/memleket/entities/anticorruption?lang=kk</w:t>
            </w:r>
            <w:r>
              <w:rPr>
                <w:sz w:val="20"/>
                <w:szCs w:val="20"/>
                <w14:textOutline w14:w="12700" w14:cap="flat">
                  <w14:noFill/>
                  <w14:miter w14:lim="400000"/>
                </w14:textOutline>
              </w:rPr>
              <w:fldChar w:fldCharType="end" w:fldLock="0"/>
            </w:r>
          </w:p>
          <w:p>
            <w:pPr>
              <w:pStyle w:val="Normal.0"/>
              <w:widowControl w:val="0"/>
              <w:numPr>
                <w:ilvl w:val="0"/>
                <w:numId w:val="5"/>
              </w:numPr>
              <w:bidi w:val="0"/>
              <w:ind w:right="1547"/>
              <w:jc w:val="left"/>
              <w:rPr>
                <w:sz w:val="20"/>
                <w:szCs w:val="20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https://</w:t>
            </w:r>
            <w:r>
              <w:rPr>
                <w:rStyle w:val="Hyperlink.4"/>
                <w:sz w:val="20"/>
                <w:szCs w:val="20"/>
                <w:shd w:val="nil" w:color="auto" w:fill="auto"/>
                <w:lang w:val="ru-RU"/>
                <w14:textOutline w14:w="12700" w14:cap="flat">
                  <w14:noFill/>
                  <w14:miter w14:lim="400000"/>
                </w14:textOutline>
              </w:rPr>
              <w:fldChar w:fldCharType="begin" w:fldLock="0"/>
            </w:r>
            <w:r>
              <w:rPr>
                <w:rStyle w:val="Hyperlink.4"/>
                <w:sz w:val="20"/>
                <w:szCs w:val="20"/>
                <w:shd w:val="nil" w:color="auto" w:fill="auto"/>
                <w:lang w:val="ru-RU"/>
                <w14:textOutline w14:w="12700" w14:cap="flat">
                  <w14:noFill/>
                  <w14:miter w14:lim="400000"/>
                </w14:textOutline>
              </w:rPr>
              <w:instrText xml:space="preserve"> HYPERLINK "http://www.transparency.org/"</w:instrText>
            </w:r>
            <w:r>
              <w:rPr>
                <w:rStyle w:val="Hyperlink.4"/>
                <w:sz w:val="20"/>
                <w:szCs w:val="20"/>
                <w:shd w:val="nil" w:color="auto" w:fill="auto"/>
                <w:lang w:val="ru-RU"/>
                <w14:textOutline w14:w="12700" w14:cap="flat">
                  <w14:noFill/>
                  <w14:miter w14:lim="400000"/>
                </w14:textOutline>
              </w:rPr>
              <w:fldChar w:fldCharType="separate" w:fldLock="0"/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www.transparency.org/</w:t>
            </w:r>
            <w:r>
              <w:rPr>
                <w:sz w:val="20"/>
                <w:szCs w:val="20"/>
                <w14:textOutline w14:w="12700" w14:cap="flat">
                  <w14:noFill/>
                  <w14:miter w14:lim="400000"/>
                </w14:textOutline>
              </w:rPr>
              <w:fldChar w:fldCharType="end" w:fldLock="0"/>
            </w:r>
          </w:p>
        </w:tc>
      </w:tr>
    </w:tbl>
    <w:p>
      <w:pPr>
        <w:pStyle w:val="Normal.0"/>
        <w:widowControl w:val="0"/>
        <w:ind w:left="108" w:hanging="108"/>
        <w:rPr>
          <w:rStyle w:val="Нет"/>
          <w:b w:val="1"/>
          <w:bCs w:val="1"/>
          <w:sz w:val="20"/>
          <w:szCs w:val="20"/>
        </w:rPr>
      </w:pPr>
    </w:p>
    <w:p>
      <w:pPr>
        <w:pStyle w:val="Normal.0"/>
        <w:widowControl w:val="0"/>
        <w:rPr>
          <w:rStyle w:val="Нет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76" w:lineRule="auto"/>
        <w:rPr>
          <w:rStyle w:val="Нет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49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>
        <w:tblPrEx>
          <w:shd w:val="clear" w:color="auto" w:fill="ced7e7"/>
        </w:tblPrEx>
        <w:trPr>
          <w:trHeight w:val="7132" w:hRule="atLeast"/>
        </w:trPr>
        <w:tc>
          <w:tcPr>
            <w:tcW w:type="dxa" w:w="17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Академическая политика дисциплины </w:t>
            </w:r>
          </w:p>
        </w:tc>
        <w:tc>
          <w:tcPr>
            <w:tcW w:type="dxa" w:w="878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Академическая политика дисциплины определяется </w: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</w:rPr>
              <w:instrText xml:space="preserve"> HYPERLINK "https://univer.kaznu.kz/Content/instructions/%2525D0%252590%2525D0%2525BA%2525D0%2525B0%2525D0%2525B4%2525D0%2525B5%2525D0%2525BC%2525D0%2525B8%2525D1%252587%2525D0%2525B5%2525D1%252581%2525D0%2525BA%2525D0%2525B0%2525D1%25258F%252520%2525D0%2525BF%2525D0%2525BE%2525D0%2525BB%2525D0%2525B8%2525D1%252582%2525D0%2525B8%2525D0%2525BA%2525D0%2525B0.pdf"</w:instrTex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Академической политикой</w:t>
            </w:r>
            <w:r>
              <w:rPr>
                <w:sz w:val="20"/>
                <w:szCs w:val="20"/>
              </w:rPr>
              <w:fldChar w:fldCharType="end" w:fldLock="0"/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 xml:space="preserve"> и </w: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</w:rPr>
              <w:instrText xml:space="preserve"> HYPERLINK "https://univer.kaznu.kz/Content/instructions/%2525D0%25259F%2525D0%2525BE%2525D0%2525BB%2525D0%2525B8%2525D1%252582%2525D0%2525B8%2525D0%2525BA%2525D0%2525B0%252520%2525D0%2525B0%2525D0%2525BA%2525D0%2525B0%2525D0%2525B4%2525D0%2525B5%2525D0%2525BC%2525D0%2525B8%2525D1%252587%2525D0%2525B5%2525D1%252581%2525D0%2525BA%2525D0%2525BE%2525D0%2525B9%252520%2525D1%252587%2525D0%2525B5%2525D1%252581%2525D1%252582%2525D0%2525BD%2525D0%2525BE%2525D1%252581%2525D1%252582%2525D0%2525B8.pdf"</w:instrTex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Политикой академической честности КазНУ имени аль</w: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Фараби</w: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</w:rPr>
              <w:fldChar w:fldCharType="end" w:fldLock="0"/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Документы доступны на главной странице ИС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Univer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Интеграция науки и образования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Научно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исследовательская работа студентов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магистрантов и докторантов – это углубление учебного процесса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Она организуется непосредственно на кафедрах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в лабораториях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научных и проектных подразделениях университета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в студенческих научно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технических объединениях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исследовательских и информационных технологий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Преподаватель исследовательского университета интегрирует результаты научной деятельности в тематику лекций и семинарских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практических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занятий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лабораторных занятий и в задания СРОП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СРО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которые отражаются в силлабусе и отвечают за актуальность тематик учебных занятий и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заданий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Посещаемость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Дедлайн каждого задания указан в календаре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графике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реализации содержания дисциплины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Несоблюдение дедлайнов приводит к потере баллов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Академическая честность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Практические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лабораторные занятия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СРО развивают у обучающегося самостоятельность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критическое мышление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креативность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Недопустимы плагиат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подлог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использование шпаргалок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списывание на всех этапах выполнения заданий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</w:rPr>
              <w:instrText xml:space="preserve"> HYPERLINK "https://univer.kaznu.kz/Content/instructions/%2525D0%25259F%2525D1%252580%2525D0%2525B0%2525D0%2525B2%2525D0%2525B8%2525D0%2525BB%2525D0%2525B0%252520%2525D0%2525BF%2525D1%252580%2525D0%2525BE%2525D0%2525B2%2525D0%2525B5%2525D0%2525B4%2525D0%2525B5%2525D0%2525BD%2525D0%2525B8%2525D1%25258F%252520%2525D0%2525B8%2525D1%252582%2525D0%2525BE%2525D0%2525B3%2525D0%2525BE%2525D0%2525B2%2525D0%2525BE%2525D0%2525B3%2525D0%2525BE%252520%2525D0%2525BA%2525D0%2525BE%2525D0%2525BD%2525D1%252582%2525D1%252580%2525D0%2525BE%2525D0%2525BB%2525D1%25258F%252520%2525D0%25259B%2525D0%2525AD%2525D0%2525A1%2525202022-2023%252520%2525D1%252583%2525D1%252587%2525D0%2525B3%2525D0%2525BE%2525D0%2525B4%252520%2525D1%252580%2525D1%252583%2525D1%252581%2525D1%25258F%2525D0%2525B7%2525D1%25258B%2525D0%2525BA%2525D0%2525B5.pdf"</w:instrTex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«Правила проведения итогового контроля»</w:t>
            </w:r>
            <w:r>
              <w:rPr>
                <w:sz w:val="20"/>
                <w:szCs w:val="20"/>
              </w:rPr>
              <w:fldChar w:fldCharType="end" w:fldLock="0"/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</w:rPr>
              <w:instrText xml:space="preserve"> HYPERLINK "https://univer.kaznu.kz/Content/instructions/%2525D0%252598%2525D0%2525BD%2525D1%252581%2525D1%252582%2525D1%252580%2525D1%252583%2525D0%2525BA%2525D1%252586%2525D0%2525B8%2525D1%25258F%252520%2525D0%2525B4%2525D0%2525BB%2525D1%25258F%252520%2525D0%2525B8%2525D1%252582%2525D0%2525BE%2525D0%2525B3%2525D0%2525BE%2525D0%2525B2%2525D0%2525BE%2525D0%2525B3%2525D0%2525BE%252520%2525D0%2525BA%2525D0%2525BE%2525D0%2525BD%2525D1%252582%2525D1%252580%2525D0%2525BE%2525D0%2525BB%2525D1%25258F%252520%2525D0%2525B2%2525D0%2525B5%2525D1%252581%2525D0%2525B5%2525D0%2525BD%2525D0%2525BD%2525D0%2525B5%2525D0%2525B3%2525D0%2525BE%252520%2525D1%252581%2525D0%2525B5%2525D0%2525BC%2525D0%2525B5%2525D1%252581%2525D1%252582%2525D1%252580%2525D0%2525B0%2525202022-2023.pdf"</w:instrTex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«Инструкции для проведения итогового контроля осеннего</w: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весеннего семестра текущего учебного года»</w:t>
            </w:r>
            <w:r>
              <w:rPr>
                <w:sz w:val="20"/>
                <w:szCs w:val="20"/>
              </w:rPr>
              <w:fldChar w:fldCharType="end" w:fldLock="0"/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«Положение о проверке текстовых документов обучающихся на наличие заимствований»</w: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Документы доступны на главной странице ИС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Univer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принципы инклюзивного образования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Образовательная среда университета задумана как безопасное место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где всегда присутствуют поддержка и равное отношение со стороны преподавателя ко всем обучающимся и обучающихся друг к другу независимо от гендерной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расовой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этнической принадлежности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религиозных убеждений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социально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экономического статуса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физического здоровья студента и др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Все люди нуждаются в поддержке и дружбе ровесников и сокурсников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Для всех студентов достижение прогресса скорее в том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что они могут делать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чем в том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что не могут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Разнообразие усиливает все стороны жизни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Все обучающиеся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особенно с ограниченными возможностями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могут получать консультативную помощь по телефону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mail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aselya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sharipova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@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mail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ru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049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ИНФОРМАЦИЯ О ПРЕПОДАВАНИИ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ОБУЧЕНИИ И ОЦЕНИВАНИИ</w:t>
            </w:r>
          </w:p>
        </w:tc>
      </w:tr>
      <w:tr>
        <w:tblPrEx>
          <w:shd w:val="clear" w:color="auto" w:fill="ced7e7"/>
        </w:tblPrEx>
        <w:trPr>
          <w:trHeight w:val="373" w:hRule="atLeast"/>
        </w:trPr>
        <w:tc>
          <w:tcPr>
            <w:tcW w:type="dxa" w:w="496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Балльно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рейтинговая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буквенная система оценки учета учебных достижений</w:t>
            </w:r>
          </w:p>
        </w:tc>
        <w:tc>
          <w:tcPr>
            <w:tcW w:type="dxa" w:w="55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Методы оценивания</w:t>
            </w:r>
          </w:p>
        </w:tc>
      </w:tr>
      <w:tr>
        <w:tblPrEx>
          <w:shd w:val="clear" w:color="auto" w:fill="ced7e7"/>
        </w:tblPrEx>
        <w:trPr>
          <w:trHeight w:val="706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Оценка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Цифровой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эквивалент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баллов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Баллы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%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содержание 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Оценка по традиционной системе</w:t>
            </w:r>
          </w:p>
        </w:tc>
        <w:tc>
          <w:tcPr>
            <w:tcW w:type="dxa" w:w="5528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Критериальное оценивание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– процесс соотнесения реально достигнутых результатов обучения с ожидаемыми результатами обучения на основе четко выработанных критериев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Основано на формативном и суммативном оценивании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Формативное оценивание –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вид оценивания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который проводится в ходе повседневной учебной деятельности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Является текущим показателем успеваемости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Обеспечивает оперативную взаимосвязь между обучающимся и преподавателем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Позволяет определить возможности обучающегося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выявить трудности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помочь в достижении наилучших результатов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своевременно корректировать преподавателю образовательный процесс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Оценивается выполнение заданий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активность работы в аудитории во время лекций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семинаров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практических занятий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дискуссии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викторины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дебаты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круглые столы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лабораторные работы и т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.). 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Оцениваются приобретенные знания и компетенции</w:t>
            </w:r>
            <w:r>
              <w:rPr>
                <w:rStyle w:val="Hyperlink.4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Суммативное оценивание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–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вид оценивания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который проводится по завершению изучения раздела в соответствии с программой дисциплины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Проводится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3-4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раза за семестр при выполнении СРО</w:t>
            </w:r>
            <w:r>
              <w:rPr>
                <w:rStyle w:val="Нет"/>
                <w:outline w:val="0"/>
                <w:color w:val="ff0000"/>
                <w:sz w:val="16"/>
                <w:szCs w:val="16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Это оценивание освоения ожидаемых результатов обучения в соотнесенности с дескрипторами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Позволяет определять и фиксировать уровень освоения дисциплины за определенный период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Оцениваются результаты обучения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09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en-US"/>
              </w:rPr>
              <w:t>95-100</w:t>
            </w:r>
          </w:p>
        </w:tc>
        <w:tc>
          <w:tcPr>
            <w:tcW w:type="dxa" w:w="184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Отлично</w:t>
            </w:r>
          </w:p>
        </w:tc>
        <w:tc>
          <w:tcPr>
            <w:tcW w:type="dxa" w:w="552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09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en-US"/>
              </w:rPr>
              <w:t>A-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3,67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90-94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2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039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en-US"/>
              </w:rPr>
              <w:t>B+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3,33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85-89</w:t>
            </w:r>
          </w:p>
        </w:tc>
        <w:tc>
          <w:tcPr>
            <w:tcW w:type="dxa" w:w="184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Хорошо</w:t>
            </w:r>
          </w:p>
        </w:tc>
        <w:tc>
          <w:tcPr>
            <w:tcW w:type="dxa" w:w="552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7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en-US"/>
              </w:rPr>
              <w:t>B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3,0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80-84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Формативное и суммативное оценивание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Баллы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%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содержание</w:t>
            </w:r>
          </w:p>
        </w:tc>
      </w:tr>
      <w:tr>
        <w:tblPrEx>
          <w:shd w:val="clear" w:color="auto" w:fill="ced7e7"/>
        </w:tblPrEx>
        <w:trPr>
          <w:trHeight w:val="19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en-US"/>
              </w:rPr>
              <w:t>B-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2,67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75-79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Активность на лекциях                                       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19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en-US"/>
              </w:rPr>
              <w:t>C+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2,33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70-74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Работа на практических занятиях                     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19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en-US"/>
              </w:rPr>
              <w:t>C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2,0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65-69</w:t>
            </w:r>
          </w:p>
        </w:tc>
        <w:tc>
          <w:tcPr>
            <w:tcW w:type="dxa" w:w="184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Удовлетворительно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Самостоятельная работа                                     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25</w:t>
            </w:r>
          </w:p>
        </w:tc>
      </w:tr>
      <w:tr>
        <w:tblPrEx>
          <w:shd w:val="clear" w:color="auto" w:fill="ced7e7"/>
        </w:tblPrEx>
        <w:trPr>
          <w:trHeight w:val="19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en-US"/>
              </w:rPr>
              <w:t>C-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1,67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60-64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Проектная и творческая деятельность             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19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en-US"/>
              </w:rPr>
              <w:t>D+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1,33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55-59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Итоговый контроль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экзамен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)                                                        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40</w:t>
            </w:r>
          </w:p>
        </w:tc>
      </w:tr>
      <w:tr>
        <w:tblPrEx>
          <w:shd w:val="clear" w:color="auto" w:fill="ced7e7"/>
        </w:tblPrEx>
        <w:trPr>
          <w:trHeight w:val="19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D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1,0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50-54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ИТОГО                                      </w:t>
            </w:r>
          </w:p>
        </w:tc>
        <w:tc>
          <w:tcPr>
            <w:tcW w:type="dxa" w:w="226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100 </w:t>
            </w:r>
          </w:p>
        </w:tc>
      </w:tr>
      <w:tr>
        <w:tblPrEx>
          <w:shd w:val="clear" w:color="auto" w:fill="ced7e7"/>
        </w:tblPrEx>
        <w:trPr>
          <w:trHeight w:val="19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FX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0,5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25-49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Неудовлетворительно</w:t>
            </w:r>
          </w:p>
        </w:tc>
        <w:tc>
          <w:tcPr>
            <w:tcW w:type="dxa" w:w="32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F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0-24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37" w:hRule="atLeast"/>
        </w:trPr>
        <w:tc>
          <w:tcPr>
            <w:tcW w:type="dxa" w:w="1049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  <w:rPr>
                <w:rStyle w:val="Нет"/>
                <w:b w:val="1"/>
                <w:bCs w:val="1"/>
                <w:sz w:val="8"/>
                <w:szCs w:val="8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Календарь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график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реализации содержания дисциплины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Методы преподавания и обучения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ind w:left="108" w:hanging="108"/>
        <w:rPr>
          <w:rStyle w:val="Нет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Style w:val="Нет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50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1"/>
        <w:gridCol w:w="8050"/>
        <w:gridCol w:w="861"/>
        <w:gridCol w:w="725"/>
      </w:tblGrid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Неделя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 темы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во часов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Макс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127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балл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050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Модуль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Нет"/>
                <w:b w:val="1"/>
                <w:bCs w:val="1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Антикоррупционная политика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Понятие коррупции и ее правовые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последствия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Цель</w:t>
            </w:r>
            <w:r>
              <w:rPr>
                <w:rStyle w:val="Нет"/>
                <w:spacing w:val="3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  <w:r>
              <w:rPr>
                <w:rStyle w:val="Нет"/>
                <w:spacing w:val="3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4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Противодействие</w:t>
            </w:r>
            <w:r>
              <w:rPr>
                <w:rStyle w:val="Нет"/>
                <w:spacing w:val="3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38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основныепринципы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действия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2.   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История развития противодействия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Борьба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4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коррупцией  в</w:t>
            </w:r>
            <w:r>
              <w:rPr>
                <w:rStyle w:val="Нет"/>
                <w:spacing w:val="5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советское</w:t>
            </w:r>
            <w:r>
              <w:rPr>
                <w:rStyle w:val="Нет"/>
                <w:spacing w:val="4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время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5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Роль</w:t>
            </w:r>
            <w:r>
              <w:rPr>
                <w:rStyle w:val="Нет"/>
                <w:spacing w:val="5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Ли</w:t>
            </w:r>
            <w:r>
              <w:rPr>
                <w:rStyle w:val="Нет"/>
                <w:spacing w:val="4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Хуан  Ю</w:t>
            </w:r>
            <w:r>
              <w:rPr>
                <w:rStyle w:val="Нет"/>
                <w:spacing w:val="5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5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борьбе</w:t>
            </w:r>
            <w:r>
              <w:rPr>
                <w:rStyle w:val="Нет"/>
                <w:spacing w:val="4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 коррупцией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СРОП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Style w:val="Нет"/>
                <w:spacing w:val="66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63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выполнению</w:t>
            </w:r>
            <w:r>
              <w:rPr>
                <w:rStyle w:val="Нет"/>
                <w:spacing w:val="66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pacing w:val="71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66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тему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Нет"/>
                <w:spacing w:val="70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«Антикоррупционная политика»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Антикоррупционная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политика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проводимая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Республике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Казахстан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Нормативные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правовые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акты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регламентирующие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вопросы противодействия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1. 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презентация «Антикоррупционная</w:t>
            </w:r>
            <w:r>
              <w:rPr>
                <w:rStyle w:val="Нет"/>
                <w:spacing w:val="0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политика»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Субъекты противодействия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Деятельность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антикоррупционной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службы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Взаимодействие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государственных органов в борьбе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СРОП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Консультация по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выполнению СРО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 тему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«Антикоррупционная служба»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Антикоррупционная служба и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участие общественности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противодействия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Роль общественного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контроля в борьбе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Антикоррупционная культура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Презентация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«Антикоррупционная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служба»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Виды коррупционных уголовных правонарушений 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наказания за их совершение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6.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Квалификация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 уголовных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правонарушений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Ответственность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совершение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 уголовных правонарушений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СРОП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Консультация по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выполнению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 тему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«Деятельность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Transparency</w:t>
            </w:r>
            <w:r>
              <w:rPr>
                <w:rStyle w:val="Нет"/>
                <w:spacing w:val="-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International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7.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Меры по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профилактике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7.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Виктимология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 уголовных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правонарушений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Антикоррупционная стратегия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Республики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Казахстан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10" w:lineRule="exact"/>
              <w:ind w:left="110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СРО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3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презентация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«Деятельность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Transparency</w:t>
            </w:r>
            <w:r>
              <w:rPr>
                <w:rStyle w:val="Нет"/>
                <w:spacing w:val="-10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International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978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Рубежный контроль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050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Модуль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II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Международный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опыт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 коррупции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8.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Сингапурский опыт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8.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Ответственность за коррупционные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преступления в Сингапуре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Меры по предупреждению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преступлений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Сингапуре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Презентация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«Международный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опыт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9.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Опыт Грузии по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противодействию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9.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Ответственность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 коррупционные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Грузии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Меры по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предупреждению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 преступлений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Грузии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Опыт Китая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 Японии по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противодействию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Ответственность за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преступления в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Китае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Японии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Меры по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предупреждению коррупционных преступлений в Китае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 Японии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spacing w:val="-5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«Международные</w:t>
            </w:r>
            <w:r>
              <w:rPr>
                <w:rStyle w:val="Нет"/>
                <w:spacing w:val="-7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организации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противодействующие коррупции»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11.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Опыт США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 Канады по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противодействию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11.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Ответственность за коррупционные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преступления в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Китае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 Японии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Меры по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предупреждению коррупционных преступлений в Китае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 Японии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12.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Опыт Великобритании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противодействию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12.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Ответственность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преступления в Великобритании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Меры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предупреждению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 преступлений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Великобритании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СРОП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Консультация</w:t>
            </w:r>
            <w:r>
              <w:rPr>
                <w:rStyle w:val="Нет"/>
                <w:spacing w:val="1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выполнению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СРО</w:t>
            </w:r>
            <w:r>
              <w:rPr>
                <w:rStyle w:val="Нет"/>
                <w:spacing w:val="1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6</w:t>
            </w:r>
            <w:r>
              <w:rPr>
                <w:rStyle w:val="Нет"/>
                <w:spacing w:val="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1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тему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Нет"/>
                <w:spacing w:val="1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«Роль</w:t>
            </w:r>
            <w:r>
              <w:rPr>
                <w:rStyle w:val="Нет"/>
                <w:spacing w:val="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ООН в борьбе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коррупцией»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2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13.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Опыт Финляндии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противодействии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13.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Ответственность за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преступления в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Финляндии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Меры по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предупреждению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 преступлений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Финляндии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«Уголовная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ответственность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совершение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 уголовных правонарушений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рубежом»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14.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Опыт Российской Федерации по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противодействию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14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Ответственность за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преступления в Российской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Федерации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Меры по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предупреждению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 преступлений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Финляндии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СРОП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 Консультация</w:t>
            </w:r>
            <w:r>
              <w:rPr>
                <w:rStyle w:val="Нет"/>
                <w:spacing w:val="1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выполнению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СРО</w:t>
            </w:r>
            <w:r>
              <w:rPr>
                <w:rStyle w:val="Нет"/>
                <w:spacing w:val="1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Style w:val="Нет"/>
                <w:spacing w:val="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1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тему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Нет"/>
                <w:spacing w:val="1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«Роль</w:t>
            </w:r>
            <w:r>
              <w:rPr>
                <w:rStyle w:val="Нет"/>
                <w:spacing w:val="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ООН в борьбе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коррупцией»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15.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Роль международных антикоррупционных организаций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15.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Роль международных антикоррупционных организаций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7.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презентация «Роль ООН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борьбе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коррупцией»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978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Рубежный контроль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978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Итоговый контроль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экзамен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978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ИТОГО за дисциплину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100</w:t>
            </w:r>
          </w:p>
        </w:tc>
      </w:tr>
    </w:tbl>
    <w:p>
      <w:pPr>
        <w:pStyle w:val="Normal.0"/>
        <w:widowControl w:val="0"/>
        <w:ind w:left="108" w:hanging="108"/>
        <w:rPr>
          <w:rStyle w:val="Нет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Style w:val="Нет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276"/>
        </w:tabs>
        <w:jc w:val="center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 </w:t>
      </w:r>
    </w:p>
    <w:p>
      <w:pPr>
        <w:pStyle w:val="Normal.0"/>
        <w:jc w:val="both"/>
        <w:rPr>
          <w:rStyle w:val="eop"/>
          <w:sz w:val="20"/>
          <w:szCs w:val="20"/>
        </w:rPr>
      </w:pPr>
    </w:p>
    <w:p>
      <w:pPr>
        <w:pStyle w:val="Normal.0"/>
        <w:spacing w:after="120"/>
        <w:jc w:val="both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Декан                                                                                                                              Байдельдинов Д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.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Л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.    </w:t>
      </w:r>
    </w:p>
    <w:p>
      <w:pPr>
        <w:pStyle w:val="Normal.0"/>
        <w:spacing w:after="120"/>
        <w:jc w:val="both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                                                                         </w:t>
      </w:r>
    </w:p>
    <w:p>
      <w:pPr>
        <w:pStyle w:val="Normal.0"/>
        <w:spacing w:after="120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Заведующий кафедрой                                                                                                Джансараева Р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.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Е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.</w:t>
      </w:r>
    </w:p>
    <w:p>
      <w:pPr>
        <w:pStyle w:val="Normal.0"/>
        <w:spacing w:after="120"/>
        <w:rPr>
          <w:rStyle w:val="Нет"/>
          <w:b w:val="1"/>
          <w:bCs w:val="1"/>
          <w:sz w:val="20"/>
          <w:szCs w:val="20"/>
        </w:rPr>
      </w:pPr>
    </w:p>
    <w:p>
      <w:pPr>
        <w:pStyle w:val="Normal.0"/>
        <w:spacing w:after="120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Лектор                                                                                                                            Абдрахманов Д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.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С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.</w:t>
      </w: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center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РУБРИКАТОР СУММАТИВНОГО ОЦЕНИВАНИЯ</w:t>
      </w:r>
    </w:p>
    <w:p>
      <w:pPr>
        <w:pStyle w:val="paragraph"/>
        <w:spacing w:before="0" w:after="0"/>
        <w:jc w:val="center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 </w:t>
      </w:r>
    </w:p>
    <w:p>
      <w:pPr>
        <w:pStyle w:val="paragraph"/>
        <w:spacing w:before="0" w:after="0"/>
        <w:jc w:val="center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КРИТЕРИИ ОЦЕНИВАНИЯ РЕЗУЛЬТАТОВ ОБУЧЕНИЯ 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p>
      <w:pPr>
        <w:pStyle w:val="paragraph"/>
        <w:spacing w:before="0" w:after="0"/>
        <w:rPr>
          <w:rStyle w:val="eop"/>
          <w:sz w:val="20"/>
          <w:szCs w:val="20"/>
        </w:rPr>
      </w:pP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Оформляется по желанию преподавателя для каждого запланированного суммативного оценивания </w:t>
      </w:r>
      <w:r>
        <w:rPr>
          <w:rStyle w:val="Нет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(</w:t>
      </w:r>
      <w:r>
        <w:rPr>
          <w:rStyle w:val="Нет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СРО</w:t>
      </w:r>
      <w:r>
        <w:rPr>
          <w:rStyle w:val="Нет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)</w:t>
      </w:r>
    </w:p>
    <w:p>
      <w:pPr>
        <w:pStyle w:val="paragraph"/>
        <w:spacing w:before="0" w:after="0"/>
        <w:jc w:val="center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 </w:t>
      </w:r>
      <w:r>
        <w:rPr>
          <w:rStyle w:val="Нет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  </w:t>
      </w: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ШАБЛОН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 </w:t>
      </w:r>
    </w:p>
    <w:p>
      <w:pPr>
        <w:pStyle w:val="Normal.0"/>
        <w:tabs>
          <w:tab w:val="left" w:pos="1276"/>
        </w:tabs>
        <w:jc w:val="both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Название задания</w:t>
      </w:r>
      <w:r>
        <w:rPr>
          <w:rStyle w:val="Нет"/>
          <w:sz w:val="20"/>
          <w:szCs w:val="20"/>
          <w:rtl w:val="0"/>
          <w:lang w:val="ru-RU"/>
        </w:rPr>
        <w:t> </w:t>
      </w:r>
      <w:r>
        <w:rPr>
          <w:rStyle w:val="Нет"/>
          <w:sz w:val="20"/>
          <w:szCs w:val="20"/>
          <w:rtl w:val="0"/>
          <w:lang w:val="ru-RU"/>
        </w:rPr>
        <w:t>(</w:t>
      </w:r>
      <w:r>
        <w:rPr>
          <w:rStyle w:val="Нет"/>
          <w:sz w:val="20"/>
          <w:szCs w:val="20"/>
          <w:rtl w:val="0"/>
          <w:lang w:val="ru-RU"/>
        </w:rPr>
        <w:t>баллы</w:t>
      </w:r>
      <w:r>
        <w:rPr>
          <w:rStyle w:val="Нет"/>
          <w:sz w:val="20"/>
          <w:szCs w:val="20"/>
          <w:rtl w:val="0"/>
          <w:lang w:val="ru-RU"/>
        </w:rPr>
        <w:t xml:space="preserve">, % </w:t>
      </w:r>
      <w:r>
        <w:rPr>
          <w:rStyle w:val="Нет"/>
          <w:sz w:val="20"/>
          <w:szCs w:val="20"/>
          <w:rtl w:val="0"/>
          <w:lang w:val="ru-RU"/>
        </w:rPr>
        <w:t xml:space="preserve">содержание от </w:t>
      </w:r>
      <w:r>
        <w:rPr>
          <w:rStyle w:val="Нет"/>
          <w:sz w:val="20"/>
          <w:szCs w:val="20"/>
          <w:rtl w:val="0"/>
          <w:lang w:val="ru-RU"/>
        </w:rPr>
        <w:t xml:space="preserve">100% </w:t>
      </w:r>
      <w:r>
        <w:rPr>
          <w:rStyle w:val="Нет"/>
          <w:sz w:val="20"/>
          <w:szCs w:val="20"/>
          <w:rtl w:val="0"/>
          <w:lang w:val="ru-RU"/>
        </w:rPr>
        <w:t>РК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 xml:space="preserve">копировать из календаря </w:t>
      </w:r>
      <w:r>
        <w:rPr>
          <w:rStyle w:val="Нет"/>
          <w:sz w:val="20"/>
          <w:szCs w:val="20"/>
          <w:rtl w:val="0"/>
          <w:lang w:val="ru-RU"/>
        </w:rPr>
        <w:t>(</w:t>
      </w:r>
      <w:r>
        <w:rPr>
          <w:rStyle w:val="Нет"/>
          <w:sz w:val="20"/>
          <w:szCs w:val="20"/>
          <w:rtl w:val="0"/>
          <w:lang w:val="ru-RU"/>
        </w:rPr>
        <w:t>графика</w:t>
      </w:r>
      <w:r>
        <w:rPr>
          <w:rStyle w:val="Нет"/>
          <w:sz w:val="20"/>
          <w:szCs w:val="20"/>
          <w:rtl w:val="0"/>
          <w:lang w:val="ru-RU"/>
        </w:rPr>
        <w:t>)</w:t>
      </w:r>
      <w:r>
        <w:rPr>
          <w:rStyle w:val="Нет"/>
          <w:sz w:val="20"/>
          <w:szCs w:val="20"/>
          <w:rtl w:val="0"/>
          <w:lang w:val="ru-RU"/>
        </w:rPr>
        <w:t> реализации содержания дисциплины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>методы преподавания и обучения</w:t>
      </w:r>
    </w:p>
    <w:p>
      <w:pPr>
        <w:pStyle w:val="Normal.0"/>
        <w:rPr>
          <w:rStyle w:val="eop"/>
          <w:sz w:val="20"/>
          <w:szCs w:val="20"/>
        </w:rPr>
      </w:pP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 </w:t>
      </w:r>
    </w:p>
    <w:tbl>
      <w:tblPr>
        <w:tblW w:w="1483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80"/>
        <w:gridCol w:w="2835"/>
        <w:gridCol w:w="3105"/>
        <w:gridCol w:w="3255"/>
        <w:gridCol w:w="3960"/>
      </w:tblGrid>
      <w:tr>
        <w:tblPrEx>
          <w:shd w:val="clear" w:color="auto" w:fill="ced7e7"/>
        </w:tblPrEx>
        <w:trPr>
          <w:trHeight w:val="462" w:hRule="atLeast"/>
        </w:trPr>
        <w:tc>
          <w:tcPr>
            <w:tcW w:type="dxa" w:w="16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Критерий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«Отлично» 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Макс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вес в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31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«Хорошо» 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Макс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вес в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32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«Удовлетворительно»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Макс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вес в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3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«Неудовлетворительно»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Макс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вес в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16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1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2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</w:tbl>
    <w:p>
      <w:pPr>
        <w:pStyle w:val="paragraph"/>
        <w:widowControl w:val="0"/>
        <w:spacing w:before="0" w:after="0"/>
        <w:ind w:left="108" w:hanging="108"/>
        <w:rPr>
          <w:rStyle w:val="Нет"/>
          <w:sz w:val="20"/>
          <w:szCs w:val="20"/>
        </w:rPr>
      </w:pPr>
    </w:p>
    <w:p>
      <w:pPr>
        <w:pStyle w:val="paragraph"/>
        <w:widowControl w:val="0"/>
        <w:spacing w:before="0" w:after="0"/>
        <w:rPr>
          <w:rStyle w:val="eop"/>
          <w:sz w:val="20"/>
          <w:szCs w:val="20"/>
        </w:rPr>
      </w:pP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 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 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Пример </w:t>
      </w:r>
      <w:r>
        <w:rPr>
          <w:rStyle w:val="Нет"/>
          <w:b w:val="1"/>
          <w:bCs w:val="1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1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Письменное задание «Моя профессиональная история»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(25%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от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100%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РК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)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 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tbl>
      <w:tblPr>
        <w:tblW w:w="1483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13"/>
        <w:gridCol w:w="2803"/>
        <w:gridCol w:w="2657"/>
        <w:gridCol w:w="3503"/>
        <w:gridCol w:w="3360"/>
      </w:tblGrid>
      <w:tr>
        <w:tblPrEx>
          <w:shd w:val="clear" w:color="auto" w:fill="ced7e7"/>
        </w:tblPrEx>
        <w:trPr>
          <w:trHeight w:val="462" w:hRule="atLeast"/>
        </w:trPr>
        <w:tc>
          <w:tcPr>
            <w:tcW w:type="dxa" w:w="25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Критерий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«Отлично» 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20-25 %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«Хорошо»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15-20%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  </w:t>
            </w:r>
          </w:p>
        </w:tc>
        <w:tc>
          <w:tcPr>
            <w:tcW w:type="dxa" w:w="35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«Удовлетворительно»  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10-15%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«Неудовлетворительно»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0-10%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002" w:hRule="atLeast"/>
        </w:trPr>
        <w:tc>
          <w:tcPr>
            <w:tcW w:type="dxa" w:w="25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Понимание теорий 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 концепций профессиональной идентичности и профессионализма педагога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Глубокое понимание теорий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и профессионализма учителя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Предоставляются соответствующие и релевантные ссылки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цитаты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 ключевые источники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Понимание теорий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и профессионализма учителя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Предоставляются ссылки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цитаты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 ключевые источники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5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Ограниченное понимание теорий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и профессионализма учителя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Предоставляются ограниченные ссылки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цитаты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 ключевые источники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Поверхностное понимание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отсутствие понимания теорий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и профессионализма учителя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предоставляются соответствующие ссылки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цитаты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 ключевые источники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2662" w:hRule="atLeast"/>
        </w:trPr>
        <w:tc>
          <w:tcPr>
            <w:tcW w:type="dxa" w:w="25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Осознание ключевых вопросов профессиональной идентичности и профессионализма учителей в Казахстане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Хорошо связывает ключевые понятия профессиональной идентичности и профессионализма учителя с контекстом Казахстана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Отличное обоснование аргументов доказательствами эмпирического исследования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например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на основе интервью или статистического анализа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2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Связывает концепции профессиональной идентичности и профессионализма учителя с контекстом Казахстана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Подкрепляет аргументы доказательствами эмпирического исследования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5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Ограниченная связь концепций профессиональной идентичности и профессионализма учителей с контекстом Казахстана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Ограниченное использование доказательств эмпирического исследования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Незначительная или отсутствуют связь концепций профессиональной идентичности учителя с контекстом Казахстана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Мало или вообще не использует эмпирические исследования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2002" w:hRule="atLeast"/>
        </w:trPr>
        <w:tc>
          <w:tcPr>
            <w:tcW w:type="dxa" w:w="25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Предложение политики или практические рекомендации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предложения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Предлагает грамотные политические 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или практические рекомендации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предложения по повышению профессиональной идентичности и профессионализма учителей в Казахстане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Предлагает некоторые политические 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или практические рекомендации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предложения по повышению профессиональной идентичности и профессионализма учителей в Казахстане  </w:t>
            </w:r>
          </w:p>
        </w:tc>
        <w:tc>
          <w:tcPr>
            <w:tcW w:type="dxa" w:w="35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Ограниченная политика и практические рекомендации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Рекомендации несущественны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 основаны на тщательном анализе и неглубоки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Мало или вообще нет политики и практических рекомендаций или рекомендации очень низкого качества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1122" w:hRule="atLeast"/>
        </w:trPr>
        <w:tc>
          <w:tcPr>
            <w:tcW w:type="dxa" w:w="25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Письмо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АРА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стиль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Письмо демонстрирует ясность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лаконичность и правильность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Строго следует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APA-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стилю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Письмо демонстрирует ясность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лаконичность и корректность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 основном следует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APA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стилю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5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письме есть некоторые ключевые ошибки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 ясность нуждается в улучшении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Есть ошибки в следовании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APA-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стилю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Написанное неясно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трудно следовать за содержанием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Много ошибок в следовании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APA-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стилю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</w:tbl>
    <w:p>
      <w:pPr>
        <w:pStyle w:val="paragraph"/>
        <w:widowControl w:val="0"/>
        <w:spacing w:before="0" w:after="0"/>
        <w:ind w:left="108" w:hanging="108"/>
        <w:rPr>
          <w:rStyle w:val="Нет"/>
          <w:sz w:val="20"/>
          <w:szCs w:val="20"/>
        </w:rPr>
      </w:pPr>
    </w:p>
    <w:p>
      <w:pPr>
        <w:pStyle w:val="paragraph"/>
        <w:widowControl w:val="0"/>
        <w:spacing w:before="0" w:after="0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   </w:t>
      </w:r>
      <w:r>
        <w:rPr>
          <w:rStyle w:val="Нет"/>
          <w:b w:val="1"/>
          <w:bCs w:val="1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Пример </w:t>
      </w:r>
      <w:r>
        <w:rPr>
          <w:rStyle w:val="Нет"/>
          <w:b w:val="1"/>
          <w:bCs w:val="1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2.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Групповая презентация «Профессия учителя в Казахстане» 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(30%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от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100%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РК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)</w:t>
      </w:r>
      <w:r>
        <w:rPr>
          <w:rStyle w:val="Нет"/>
          <w:sz w:val="20"/>
          <w:szCs w:val="20"/>
          <w:rtl w:val="0"/>
          <w:lang w:val="ru-RU"/>
        </w:rPr>
        <w:t> </w:t>
      </w:r>
    </w:p>
    <w:p>
      <w:pPr>
        <w:pStyle w:val="paragraph"/>
        <w:spacing w:before="0" w:after="0"/>
        <w:jc w:val="both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 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tbl>
      <w:tblPr>
        <w:tblW w:w="934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37"/>
        <w:gridCol w:w="1873"/>
        <w:gridCol w:w="1793"/>
        <w:gridCol w:w="1980"/>
        <w:gridCol w:w="2166"/>
      </w:tblGrid>
      <w:tr>
        <w:tblPrEx>
          <w:shd w:val="clear" w:color="auto" w:fill="ced7e7"/>
        </w:tblPrEx>
        <w:trPr>
          <w:trHeight w:val="667" w:hRule="atLeast"/>
        </w:trPr>
        <w:tc>
          <w:tcPr>
            <w:tcW w:type="dxa" w:w="1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Критерий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«Отлично» 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25-30%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17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«Хорошо» 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20-20%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19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«Удовлетворительно»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15-20%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21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«Неудовлетворительно»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15%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1987" w:hRule="atLeast"/>
        </w:trPr>
        <w:tc>
          <w:tcPr>
            <w:tcW w:type="dxa" w:w="1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Понимание теорий и концепций профессиональной идентичности учителя и профессии учителя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Глубокое понимание теорий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учителя и профессии учителя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7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Понимание теорий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учителя и профессии учителя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9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Ограниченное понимание теорий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учителя и профессии учителя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1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Поверхностное понимание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отсутствие понимания теорий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учителя и профессии учителя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4407" w:hRule="atLeast"/>
        </w:trPr>
        <w:tc>
          <w:tcPr>
            <w:tcW w:type="dxa" w:w="1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Грамотное соотношение ключевых понятий профессиональной идентичности учителя и профессии учителя с контекстом Казахстана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Отличное обоснование аргументов доказательствами эмпирического исследования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например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 основе интервью или статистического анализа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7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Присутствует связь концепций профессиональной идентичности учителя и профессии учителя с контекстом Казахстана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Аргументы подкреплены доказательствами эмпирического исследования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9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Ограниченное соотношение профессиональной идентичности учителя и концепций профессии учителя с контекстом Казахстана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Ограниченное использование доказательств эмпирического исследования  </w:t>
            </w:r>
          </w:p>
        </w:tc>
        <w:tc>
          <w:tcPr>
            <w:tcW w:type="dxa" w:w="21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Незначительная связь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отсутствие связи концепций профессиональной идентичности учителя с контекстом Казахстана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Мало или вообще не используются эмпирические исследования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1767" w:hRule="atLeast"/>
        </w:trPr>
        <w:tc>
          <w:tcPr>
            <w:tcW w:type="dxa" w:w="1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Пилотное исследование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Отличное использование результатов пилотных исследований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интервью или опрос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презентации  </w:t>
            </w:r>
          </w:p>
        </w:tc>
        <w:tc>
          <w:tcPr>
            <w:tcW w:type="dxa" w:w="17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Хорошее использование результатов пилотных исследований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интервью или опроса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презентации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9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Удовлетворительное использование результатов пилотных исследований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интервью или опрос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презентации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1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Плохое использование результатов пилотных исследований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интервью или опросов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презентации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2647" w:hRule="atLeast"/>
        </w:trPr>
        <w:tc>
          <w:tcPr>
            <w:tcW w:type="dxa" w:w="1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Предложение политики или практических рекомендаций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предложений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Предлагает очень хорошую политику 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или практические рекомендации или предложения по улучшению профессиональной идентичности и профессии учителя в Казахстане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7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Предлагает некоторые политические 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или практические рекомендации или предложения по улучшению профессиональной идентичности и профессии учителя в Казахстане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9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Ограниченная политика и практические рекомендации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Рекомендации несущественны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 основаны на тщательном анализе и неглубоки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1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Мало или вообще нет политики и практических рекомендаций или рекомендации очень низкого качества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2207" w:hRule="atLeast"/>
        </w:trPr>
        <w:tc>
          <w:tcPr>
            <w:tcW w:type="dxa" w:w="1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командная работа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Отличная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привлекательная презентация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отличное качество визуальных эффектов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слайдов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материалов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отличная командная работа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7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Хорошая вовлеченность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хорошее качество визуальных эффектов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слайдов или других материалов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хороший уровень командной работы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9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Удовлетворительный уровень вовлеченности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удовлетворительное качество материалов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удовлетворительный уровень командной работы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1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Низкий уровень вовлеченности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низкое качество материалов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плохой уровень командной работы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</w:tbl>
    <w:p>
      <w:pPr>
        <w:pStyle w:val="paragraph"/>
        <w:widowControl w:val="0"/>
        <w:spacing w:before="0" w:after="0"/>
        <w:ind w:left="108" w:hanging="108"/>
        <w:rPr>
          <w:rStyle w:val="Нет"/>
          <w:sz w:val="20"/>
          <w:szCs w:val="20"/>
        </w:rPr>
      </w:pPr>
    </w:p>
    <w:p>
      <w:pPr>
        <w:pStyle w:val="paragraph"/>
        <w:widowControl w:val="0"/>
        <w:spacing w:before="0" w:after="0"/>
        <w:jc w:val="both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</w:pPr>
      <w:r>
        <w:rPr>
          <w:rStyle w:val="eop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568" w:right="850" w:bottom="1418" w:left="1701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447"/>
        </w:tabs>
        <w:ind w:left="446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47"/>
        </w:tabs>
        <w:ind w:left="105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47"/>
        </w:tabs>
        <w:ind w:left="177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47"/>
        </w:tabs>
        <w:ind w:left="249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47"/>
        </w:tabs>
        <w:ind w:left="321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47"/>
        </w:tabs>
        <w:ind w:left="393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47"/>
        </w:tabs>
        <w:ind w:left="465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47"/>
        </w:tabs>
        <w:ind w:left="537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47"/>
        </w:tabs>
        <w:ind w:left="609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3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5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7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9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1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3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5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7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09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3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5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7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9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1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3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5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7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09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47"/>
          </w:tabs>
          <w:ind w:left="446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47"/>
          </w:tabs>
          <w:ind w:left="105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47"/>
          </w:tabs>
          <w:ind w:left="177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47"/>
          </w:tabs>
          <w:ind w:left="249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47"/>
          </w:tabs>
          <w:ind w:left="321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47"/>
          </w:tabs>
          <w:ind w:left="393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47"/>
          </w:tabs>
          <w:ind w:left="465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47"/>
          </w:tabs>
          <w:ind w:left="537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47"/>
          </w:tabs>
          <w:ind w:left="609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47"/>
          </w:tabs>
          <w:ind w:left="33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47"/>
          </w:tabs>
          <w:ind w:left="105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47"/>
          </w:tabs>
          <w:ind w:left="177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47"/>
          </w:tabs>
          <w:ind w:left="249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47"/>
          </w:tabs>
          <w:ind w:left="321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47"/>
          </w:tabs>
          <w:ind w:left="393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47"/>
          </w:tabs>
          <w:ind w:left="465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47"/>
          </w:tabs>
          <w:ind w:left="537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47"/>
          </w:tabs>
          <w:ind w:left="609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000ff"/>
      <w:sz w:val="20"/>
      <w:szCs w:val="20"/>
      <w:u w:val="single" w:color="0000ff"/>
      <w:shd w:val="nil" w:color="auto" w:fill="auto"/>
      <w:lang w:val="ru-RU"/>
      <w14:textFill>
        <w14:solidFill>
          <w14:srgbClr w14:val="0000FF"/>
        </w14:solidFill>
      </w14:textFill>
    </w:rPr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sz w:val="22"/>
      <w:szCs w:val="22"/>
      <w:shd w:val="nil" w:color="auto" w:fill="auto"/>
      <w:lang w:val="ru-RU"/>
      <w14:textOutline w14:w="12700" w14:cap="flat">
        <w14:noFill/>
        <w14:miter w14:lim="400000"/>
      </w14:textOutline>
    </w:rPr>
  </w:style>
  <w:style w:type="character" w:styleId="Hyperlink.2">
    <w:name w:val="Hyperlink.2"/>
    <w:basedOn w:val="Нет"/>
    <w:next w:val="Hyperlink.2"/>
    <w:rPr>
      <w:rFonts w:ascii="Times New Roman" w:cs="Times New Roman" w:hAnsi="Times New Roman" w:eastAsia="Times New Roman"/>
      <w:u w:val="single"/>
      <w:shd w:val="nil" w:color="auto" w:fill="auto"/>
      <w:lang w:val="ru-RU"/>
    </w:rPr>
  </w:style>
  <w:style w:type="character" w:styleId="Hyperlink.3">
    <w:name w:val="Hyperlink.3"/>
    <w:basedOn w:val="Нет"/>
    <w:next w:val="Hyperlink.3"/>
    <w:rPr>
      <w:rFonts w:ascii="Times New Roman" w:cs="Times New Roman" w:hAnsi="Times New Roman" w:eastAsia="Times New Roman"/>
      <w:outline w:val="0"/>
      <w:color w:val="0000ff"/>
      <w:u w:val="single" w:color="0000ff"/>
      <w:shd w:val="nil" w:color="auto" w:fill="auto"/>
      <w:lang w:val="ru-RU"/>
      <w14:textFill>
        <w14:solidFill>
          <w14:srgbClr w14:val="0000FF"/>
        </w14:solidFill>
      </w14:textFill>
    </w:rPr>
  </w:style>
  <w:style w:type="character" w:styleId="Hyperlink.4">
    <w:name w:val="Hyperlink.4"/>
    <w:basedOn w:val="Нет"/>
    <w:next w:val="Hyperlink.4"/>
    <w:rPr>
      <w:rFonts w:ascii="Times New Roman" w:cs="Times New Roman" w:hAnsi="Times New Roman" w:eastAsia="Times New Roman"/>
      <w:shd w:val="nil" w:color="auto" w:fill="auto"/>
      <w:lang w:val="ru-RU"/>
    </w:rPr>
  </w:style>
  <w:style w:type="character" w:styleId="eop">
    <w:name w:val="eop"/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